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D32C" w14:textId="6E4B8B64" w:rsidR="001736C4" w:rsidRPr="005F3A00" w:rsidRDefault="005F3A00" w:rsidP="001736C4">
      <w:pPr>
        <w:rPr>
          <w:rFonts w:ascii="Arial" w:hAnsi="Arial" w:cs="Arial"/>
          <w:b/>
          <w:bCs/>
          <w:color w:val="6153A3"/>
          <w:sz w:val="24"/>
          <w:szCs w:val="24"/>
        </w:rPr>
      </w:pPr>
      <w:r>
        <w:rPr>
          <w:rFonts w:ascii="Arial" w:hAnsi="Arial" w:cs="Arial"/>
          <w:b/>
          <w:bCs/>
          <w:color w:val="6153A3"/>
          <w:sz w:val="24"/>
          <w:szCs w:val="24"/>
        </w:rPr>
        <w:t xml:space="preserve">Menopause </w:t>
      </w:r>
      <w:r w:rsidR="00A30BD1">
        <w:rPr>
          <w:rFonts w:ascii="Arial" w:hAnsi="Arial" w:cs="Arial"/>
          <w:b/>
          <w:bCs/>
          <w:color w:val="6153A3"/>
          <w:sz w:val="24"/>
          <w:szCs w:val="24"/>
        </w:rPr>
        <w:t>P</w:t>
      </w:r>
      <w:r>
        <w:rPr>
          <w:rFonts w:ascii="Arial" w:hAnsi="Arial" w:cs="Arial"/>
          <w:b/>
          <w:bCs/>
          <w:color w:val="6153A3"/>
          <w:sz w:val="24"/>
          <w:szCs w:val="24"/>
        </w:rPr>
        <w:t>olicy</w:t>
      </w:r>
    </w:p>
    <w:p w14:paraId="5E201587" w14:textId="38F1F790" w:rsidR="001736C4" w:rsidRPr="000D7526" w:rsidRDefault="001736C4" w:rsidP="001736C4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Introduction</w:t>
      </w:r>
    </w:p>
    <w:p w14:paraId="232116A7" w14:textId="17C3AAD0" w:rsidR="001736C4" w:rsidRPr="000D7526" w:rsidRDefault="00442FED" w:rsidP="001736C4">
      <w:pPr>
        <w:rPr>
          <w:rFonts w:ascii="Arial" w:hAnsi="Arial" w:cs="Arial"/>
        </w:rPr>
      </w:pPr>
      <w:r>
        <w:rPr>
          <w:rFonts w:ascii="Arial" w:eastAsia="Calibri" w:hAnsi="Arial" w:cs="Arial"/>
        </w:rPr>
        <w:t>Combe</w:t>
      </w:r>
      <w:r w:rsidR="00D55E44">
        <w:rPr>
          <w:rFonts w:ascii="Arial" w:eastAsia="Calibri" w:hAnsi="Arial" w:cs="Arial"/>
        </w:rPr>
        <w:t xml:space="preserve"> Preschool </w:t>
      </w:r>
      <w:r w:rsidR="007F6A01" w:rsidRPr="000D7526">
        <w:rPr>
          <w:rFonts w:ascii="Arial" w:hAnsi="Arial" w:cs="Arial"/>
        </w:rPr>
        <w:t>is</w:t>
      </w:r>
      <w:r w:rsidR="001736C4" w:rsidRPr="000D7526">
        <w:rPr>
          <w:rFonts w:ascii="Arial" w:hAnsi="Arial" w:cs="Arial"/>
        </w:rPr>
        <w:t xml:space="preserve"> committed to providing an inclusive and supportive working environment for</w:t>
      </w:r>
      <w:r w:rsidR="007F6A01" w:rsidRPr="000D7526">
        <w:rPr>
          <w:rFonts w:ascii="Arial" w:hAnsi="Arial" w:cs="Arial"/>
        </w:rPr>
        <w:t xml:space="preserve"> </w:t>
      </w:r>
      <w:r w:rsidR="001736C4" w:rsidRPr="000D7526">
        <w:rPr>
          <w:rFonts w:ascii="Arial" w:hAnsi="Arial" w:cs="Arial"/>
        </w:rPr>
        <w:t>all its employees.</w:t>
      </w:r>
    </w:p>
    <w:p w14:paraId="25D11A69" w14:textId="2118A710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This policy sets out the support for employees experiencing menopausal symptoms.</w:t>
      </w:r>
      <w:r w:rsidR="007F6A01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The menopause is a natural part of every woman’s life, and it isn’t always an easy</w:t>
      </w:r>
      <w:r w:rsidR="005D3DCD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transition. With the right support, it can be much better. Whilst every woman does not suffer</w:t>
      </w:r>
      <w:r w:rsidR="005D3DCD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with symptoms, supporting those who do will improve their experience at work.</w:t>
      </w:r>
    </w:p>
    <w:p w14:paraId="524D8702" w14:textId="77777777" w:rsidR="00001387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We want all staff to understand what </w:t>
      </w:r>
      <w:r w:rsidR="00F02978" w:rsidRPr="000D7526">
        <w:rPr>
          <w:rFonts w:ascii="Arial" w:hAnsi="Arial" w:cs="Arial"/>
        </w:rPr>
        <w:t xml:space="preserve">the </w:t>
      </w:r>
      <w:r w:rsidRPr="000D7526">
        <w:rPr>
          <w:rFonts w:ascii="Arial" w:hAnsi="Arial" w:cs="Arial"/>
        </w:rPr>
        <w:t>menopause is, and to be able to talk about it openly,</w:t>
      </w:r>
      <w:r w:rsidR="00F02978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without embarrassment.</w:t>
      </w:r>
      <w:r w:rsidR="00001387" w:rsidRPr="000D7526">
        <w:rPr>
          <w:rFonts w:ascii="Arial" w:hAnsi="Arial" w:cs="Arial"/>
        </w:rPr>
        <w:t xml:space="preserve"> </w:t>
      </w:r>
    </w:p>
    <w:p w14:paraId="45050D21" w14:textId="0CB3F8FB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The average age for a woman to reach menopause in the UK is 51, with the changing age</w:t>
      </w:r>
      <w:r w:rsidR="00001387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of the UK’s workforce this means that there are now around 4.4 million women aged 50-64</w:t>
      </w:r>
      <w:r w:rsidR="00001387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in work and the vast majority of these will go through the menopause transition during their</w:t>
      </w:r>
      <w:r w:rsidR="00001387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working lives (ONS 2019).</w:t>
      </w:r>
    </w:p>
    <w:p w14:paraId="51AE5D95" w14:textId="78791C28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The menopause usually occurs between 45 and 55 years of age, as a woman's oestrogen</w:t>
      </w:r>
      <w:r w:rsidR="00001387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levels decline. Premature menopause happens when a woman’s periods stop before the</w:t>
      </w:r>
      <w:r w:rsidR="00001387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age of 45. This is known as premature menopause or premature ovarian insufficiency. For</w:t>
      </w:r>
      <w:r w:rsidR="00560598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some women, it can be experienced at a much younger age, in their 30s or even younger.</w:t>
      </w:r>
    </w:p>
    <w:p w14:paraId="50CAB2C9" w14:textId="790A6B99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Research shows that the majority of women are unwilling to discuss menopause-related</w:t>
      </w:r>
      <w:r w:rsidR="00560598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health problems with their line manager, nor ask for the support they may need (CIPD)</w:t>
      </w:r>
      <w:r w:rsidR="00560598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Altman 2015).</w:t>
      </w:r>
    </w:p>
    <w:p w14:paraId="3F574A81" w14:textId="76ADDF0B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This policy sets out the guidelines for staff and managers on providing the right support to</w:t>
      </w:r>
      <w:r w:rsidR="003A0966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manage menopausal symptoms at work.</w:t>
      </w:r>
    </w:p>
    <w:p w14:paraId="12D21666" w14:textId="50292D16" w:rsidR="001736C4" w:rsidRPr="000D7526" w:rsidRDefault="001736C4" w:rsidP="001736C4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Aims</w:t>
      </w:r>
    </w:p>
    <w:p w14:paraId="20B2113C" w14:textId="77777777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The aims of this policy are to:</w:t>
      </w:r>
    </w:p>
    <w:p w14:paraId="0057FE88" w14:textId="292AEF1D" w:rsidR="001736C4" w:rsidRPr="000D7526" w:rsidRDefault="001736C4" w:rsidP="000174F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Foster an environment in which colleagues can openly and comfortably instigate</w:t>
      </w:r>
      <w:r w:rsidR="002D0D8B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conversations or engage in discussions about menopause.</w:t>
      </w:r>
    </w:p>
    <w:p w14:paraId="579603F3" w14:textId="179F2E68" w:rsidR="001736C4" w:rsidRPr="000D7526" w:rsidRDefault="001736C4" w:rsidP="000174F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Support the understanding of what menopause is, so that staff can confidently have</w:t>
      </w:r>
      <w:r w:rsidR="002D0D8B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 xml:space="preserve">good conversations, and are clear on the </w:t>
      </w:r>
      <w:r w:rsidR="00D82D4A" w:rsidRPr="000D7526">
        <w:rPr>
          <w:rFonts w:ascii="Arial" w:hAnsi="Arial" w:cs="Arial"/>
        </w:rPr>
        <w:t>setting’s</w:t>
      </w:r>
      <w:r w:rsidRPr="000D7526">
        <w:rPr>
          <w:rFonts w:ascii="Arial" w:hAnsi="Arial" w:cs="Arial"/>
        </w:rPr>
        <w:t xml:space="preserve"> policy and practices.</w:t>
      </w:r>
    </w:p>
    <w:p w14:paraId="0D36C946" w14:textId="4490A3B3" w:rsidR="001736C4" w:rsidRPr="000D7526" w:rsidRDefault="001736C4" w:rsidP="000174F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Inform managers about the potential symptoms of menopause, and how they can</w:t>
      </w:r>
      <w:r w:rsidR="00D82D4A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support women at work.</w:t>
      </w:r>
    </w:p>
    <w:p w14:paraId="61AAAB83" w14:textId="5B3B8ED0" w:rsidR="001736C4" w:rsidRPr="000D7526" w:rsidRDefault="001736C4" w:rsidP="000174F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Ensure that women suffering with menopause symptoms feel confident to discuss</w:t>
      </w:r>
      <w:r w:rsidR="00D82D4A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it and ask for support and any appropriate reasonable adjustments so they can</w:t>
      </w:r>
      <w:r w:rsidR="00D82D4A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continue to be successful in their roles.</w:t>
      </w:r>
    </w:p>
    <w:p w14:paraId="11B80298" w14:textId="6E34A402" w:rsidR="001736C4" w:rsidRPr="000D7526" w:rsidRDefault="001736C4" w:rsidP="000174F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Reduce absenteeism due to menopausal symptoms.</w:t>
      </w:r>
    </w:p>
    <w:p w14:paraId="5B483FC8" w14:textId="629DB19B" w:rsidR="001736C4" w:rsidRPr="000D7526" w:rsidRDefault="001736C4" w:rsidP="000174F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Demonstrate our commitment to supporting women’s needs during</w:t>
      </w:r>
      <w:r w:rsidR="00D82D4A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menopause.</w:t>
      </w:r>
    </w:p>
    <w:p w14:paraId="5BF08E73" w14:textId="40030CB8" w:rsidR="001736C4" w:rsidRPr="000D7526" w:rsidRDefault="001736C4" w:rsidP="000174F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Highlight the </w:t>
      </w:r>
      <w:r w:rsidR="009048EF" w:rsidRPr="000D7526">
        <w:rPr>
          <w:rFonts w:ascii="Arial" w:hAnsi="Arial" w:cs="Arial"/>
        </w:rPr>
        <w:t>setting</w:t>
      </w:r>
      <w:r w:rsidRPr="000D7526">
        <w:rPr>
          <w:rFonts w:ascii="Arial" w:hAnsi="Arial" w:cs="Arial"/>
        </w:rPr>
        <w:t>’s duty to provide a safe working environment for all</w:t>
      </w:r>
      <w:r w:rsidR="009048EF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employees.</w:t>
      </w:r>
    </w:p>
    <w:p w14:paraId="3695B129" w14:textId="0BB60A4C" w:rsidR="001736C4" w:rsidRPr="000D7526" w:rsidRDefault="001736C4" w:rsidP="001736C4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Definitions</w:t>
      </w:r>
    </w:p>
    <w:p w14:paraId="00E7355C" w14:textId="53AC7DF5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Menopause is defined as a biological stage in a woman's life that occurs when she</w:t>
      </w:r>
      <w:r w:rsidR="009048EF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stops</w:t>
      </w:r>
      <w:r w:rsidR="009048EF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menstruating and reaches the end of her natural reproductive life. Usually,</w:t>
      </w:r>
      <w:r w:rsidR="009048EF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it is defined as</w:t>
      </w:r>
      <w:r w:rsidR="009048EF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having occurred when a woman has not had a period for twelve consecutive months (for</w:t>
      </w:r>
      <w:r w:rsidR="00247744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women reaching menopause naturally). The average age for a woman to reach menopause</w:t>
      </w:r>
      <w:r w:rsidR="00247744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is 51, however, it can be earlier or later than this due to surgery, illness or other reasons.</w:t>
      </w:r>
    </w:p>
    <w:p w14:paraId="3CA36BB0" w14:textId="0A900761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For most women, the menopause starts between the ages of 45 and 55.</w:t>
      </w:r>
      <w:r w:rsidR="00247744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Premature menopause happens when a woman's periods stop before the age of 45. This</w:t>
      </w:r>
      <w:r w:rsidR="00247744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is known as premature menopause or premature ovarian insufficiency. For some women,</w:t>
      </w:r>
      <w:r w:rsidR="00247744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it can be experienced at a much younger age, in their 30s or even younger. It can happen</w:t>
      </w:r>
      <w:r w:rsidR="009F5C5E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naturally, or as a side effect of some treatments. The NHS estimates that around 1 in 100</w:t>
      </w:r>
      <w:r w:rsidR="009F5C5E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women experience the menopause before 40 years of age.</w:t>
      </w:r>
    </w:p>
    <w:p w14:paraId="0211BEBC" w14:textId="33190E1B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lastRenderedPageBreak/>
        <w:t>Perimenopause is the time leading up to menopause when a woman may experience</w:t>
      </w:r>
      <w:r w:rsidR="009F5C5E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changes, such as irregular periods or other menopausal symptoms. This can be years</w:t>
      </w:r>
      <w:r w:rsidR="009F5C5E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before menopause.</w:t>
      </w:r>
    </w:p>
    <w:p w14:paraId="0551AE9C" w14:textId="1AA32ED4" w:rsidR="001736C4" w:rsidRPr="000D7526" w:rsidRDefault="001875B7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Post menopause</w:t>
      </w:r>
      <w:r w:rsidR="001736C4" w:rsidRPr="000D7526">
        <w:rPr>
          <w:rFonts w:ascii="Arial" w:hAnsi="Arial" w:cs="Arial"/>
        </w:rPr>
        <w:t xml:space="preserve"> is the time after menopause has occurred, starting when a</w:t>
      </w:r>
      <w:r w:rsidR="009F5C5E" w:rsidRPr="000D7526">
        <w:rPr>
          <w:rFonts w:ascii="Arial" w:hAnsi="Arial" w:cs="Arial"/>
        </w:rPr>
        <w:t xml:space="preserve"> </w:t>
      </w:r>
      <w:r w:rsidR="001736C4" w:rsidRPr="000D7526">
        <w:rPr>
          <w:rFonts w:ascii="Arial" w:hAnsi="Arial" w:cs="Arial"/>
        </w:rPr>
        <w:t>woman has</w:t>
      </w:r>
      <w:r w:rsidR="009F5C5E" w:rsidRPr="000D7526">
        <w:rPr>
          <w:rFonts w:ascii="Arial" w:hAnsi="Arial" w:cs="Arial"/>
        </w:rPr>
        <w:t xml:space="preserve"> </w:t>
      </w:r>
      <w:r w:rsidR="001736C4" w:rsidRPr="000D7526">
        <w:rPr>
          <w:rFonts w:ascii="Arial" w:hAnsi="Arial" w:cs="Arial"/>
        </w:rPr>
        <w:t>not had a period for twelve consecutive months.</w:t>
      </w:r>
    </w:p>
    <w:p w14:paraId="29A43A6A" w14:textId="3C6C7743" w:rsidR="001736C4" w:rsidRPr="000D7526" w:rsidRDefault="001736C4" w:rsidP="001736C4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Symptoms of Menopause</w:t>
      </w:r>
    </w:p>
    <w:p w14:paraId="31197662" w14:textId="68BE8D94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It is important to note that not every woman will notice every symptom, or even need help</w:t>
      </w:r>
      <w:r w:rsidR="005E62D9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or support. However, 75% of women do experience some symptoms, and 25% could be</w:t>
      </w:r>
      <w:r w:rsidR="005E62D9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classed as severe, while 4 out of 10 women do not seek medical advice even though</w:t>
      </w:r>
      <w:r w:rsidR="007467A7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their symptoms are worse than they expected. (Menopause in the Workplace 2017).</w:t>
      </w:r>
    </w:p>
    <w:p w14:paraId="38DF5F93" w14:textId="736D73FA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Symptoms vary greatly, and commonly include (but are</w:t>
      </w:r>
      <w:r w:rsidR="007467A7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n</w:t>
      </w:r>
      <w:r w:rsidR="007467A7" w:rsidRPr="000D7526">
        <w:rPr>
          <w:rFonts w:ascii="Arial" w:hAnsi="Arial" w:cs="Arial"/>
        </w:rPr>
        <w:t>o</w:t>
      </w:r>
      <w:r w:rsidRPr="000D7526">
        <w:rPr>
          <w:rFonts w:ascii="Arial" w:hAnsi="Arial" w:cs="Arial"/>
        </w:rPr>
        <w:t>t limited to):</w:t>
      </w:r>
    </w:p>
    <w:p w14:paraId="6C62594D" w14:textId="243E6572" w:rsidR="001736C4" w:rsidRPr="000D7526" w:rsidRDefault="001736C4" w:rsidP="000174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hot flushes</w:t>
      </w:r>
    </w:p>
    <w:p w14:paraId="1408C314" w14:textId="28BBB0D4" w:rsidR="001736C4" w:rsidRPr="000D7526" w:rsidRDefault="001736C4" w:rsidP="000174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night sweats</w:t>
      </w:r>
    </w:p>
    <w:p w14:paraId="2F30A385" w14:textId="07507667" w:rsidR="001736C4" w:rsidRPr="000D7526" w:rsidRDefault="001736C4" w:rsidP="000174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anxiety</w:t>
      </w:r>
    </w:p>
    <w:p w14:paraId="77FDE334" w14:textId="1387C420" w:rsidR="001736C4" w:rsidRPr="000D7526" w:rsidRDefault="001736C4" w:rsidP="000174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dizziness</w:t>
      </w:r>
    </w:p>
    <w:p w14:paraId="62024371" w14:textId="1349983D" w:rsidR="001736C4" w:rsidRPr="000D7526" w:rsidRDefault="001736C4" w:rsidP="000174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fatigue</w:t>
      </w:r>
    </w:p>
    <w:p w14:paraId="0BE22224" w14:textId="3E534278" w:rsidR="001736C4" w:rsidRPr="000D7526" w:rsidRDefault="001736C4" w:rsidP="000174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memory loss</w:t>
      </w:r>
    </w:p>
    <w:p w14:paraId="7D447B9E" w14:textId="2CFD8821" w:rsidR="001736C4" w:rsidRPr="000D7526" w:rsidRDefault="001736C4" w:rsidP="000174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depression</w:t>
      </w:r>
    </w:p>
    <w:p w14:paraId="4747539C" w14:textId="48A69A6A" w:rsidR="001736C4" w:rsidRPr="000D7526" w:rsidRDefault="001736C4" w:rsidP="000174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headaches</w:t>
      </w:r>
    </w:p>
    <w:p w14:paraId="165F6137" w14:textId="63406478" w:rsidR="001736C4" w:rsidRPr="000D7526" w:rsidRDefault="001736C4" w:rsidP="000174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recurrent urinary tract infections</w:t>
      </w:r>
    </w:p>
    <w:p w14:paraId="642130C7" w14:textId="6410F9CA" w:rsidR="001736C4" w:rsidRPr="000D7526" w:rsidRDefault="001736C4" w:rsidP="000174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joint stiffness, aches and pains</w:t>
      </w:r>
    </w:p>
    <w:p w14:paraId="68592C2A" w14:textId="39672776" w:rsidR="001736C4" w:rsidRPr="000D7526" w:rsidRDefault="001736C4" w:rsidP="000174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reduced concentration</w:t>
      </w:r>
    </w:p>
    <w:p w14:paraId="40003A59" w14:textId="6FB2575D" w:rsidR="001736C4" w:rsidRPr="000D7526" w:rsidRDefault="001736C4" w:rsidP="000174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heavy periods</w:t>
      </w:r>
    </w:p>
    <w:p w14:paraId="07B663A9" w14:textId="15EE56F0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Each of these symptoms can affect an employee's comfort and performance at work.</w:t>
      </w:r>
      <w:r w:rsidR="00E95067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Symptoms can manifest both physically and psychologically.</w:t>
      </w:r>
    </w:p>
    <w:p w14:paraId="2F1BE676" w14:textId="5CEC28AD" w:rsidR="001736C4" w:rsidRPr="000D7526" w:rsidRDefault="001736C4" w:rsidP="001736C4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Roles and Responsibilities</w:t>
      </w:r>
    </w:p>
    <w:p w14:paraId="2B0887BE" w14:textId="77777777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All staff are responsible for:</w:t>
      </w:r>
    </w:p>
    <w:p w14:paraId="014C3E8C" w14:textId="60FA17AF" w:rsidR="001736C4" w:rsidRPr="000D7526" w:rsidRDefault="001736C4" w:rsidP="000174F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Taking a personal responsibility to look after their health</w:t>
      </w:r>
      <w:r w:rsidR="0064487B">
        <w:rPr>
          <w:rFonts w:ascii="Arial" w:hAnsi="Arial" w:cs="Arial"/>
        </w:rPr>
        <w:t>.</w:t>
      </w:r>
    </w:p>
    <w:p w14:paraId="65082F03" w14:textId="72389335" w:rsidR="001736C4" w:rsidRPr="000D7526" w:rsidRDefault="001736C4" w:rsidP="000174F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Being open and honest in conversations with </w:t>
      </w:r>
      <w:r w:rsidR="00BC5AD0" w:rsidRPr="000D7526">
        <w:rPr>
          <w:rFonts w:ascii="Arial" w:hAnsi="Arial" w:cs="Arial"/>
        </w:rPr>
        <w:t xml:space="preserve">their line </w:t>
      </w:r>
      <w:r w:rsidRPr="000D7526">
        <w:rPr>
          <w:rFonts w:ascii="Arial" w:hAnsi="Arial" w:cs="Arial"/>
        </w:rPr>
        <w:t>manager</w:t>
      </w:r>
      <w:r w:rsidR="00DA74E9">
        <w:rPr>
          <w:rFonts w:ascii="Arial" w:hAnsi="Arial" w:cs="Arial"/>
        </w:rPr>
        <w:t>.</w:t>
      </w:r>
    </w:p>
    <w:p w14:paraId="5C8BCF9F" w14:textId="4DAB9920" w:rsidR="001736C4" w:rsidRPr="000D7526" w:rsidRDefault="001736C4" w:rsidP="000174F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Contributing to a respectful and productive working environment where staff can</w:t>
      </w:r>
      <w:r w:rsidR="00BC5AD0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talk openly about the menopause</w:t>
      </w:r>
      <w:r w:rsidR="00DA74E9">
        <w:rPr>
          <w:rFonts w:ascii="Arial" w:hAnsi="Arial" w:cs="Arial"/>
        </w:rPr>
        <w:t>.</w:t>
      </w:r>
    </w:p>
    <w:p w14:paraId="7AA8FF18" w14:textId="106450AF" w:rsidR="001736C4" w:rsidRPr="000D7526" w:rsidRDefault="001736C4" w:rsidP="000174F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Being willing to help and support their colleagues</w:t>
      </w:r>
      <w:r w:rsidR="00DA74E9">
        <w:rPr>
          <w:rFonts w:ascii="Arial" w:hAnsi="Arial" w:cs="Arial"/>
        </w:rPr>
        <w:t>.</w:t>
      </w:r>
    </w:p>
    <w:p w14:paraId="40365101" w14:textId="7FA43055" w:rsidR="001736C4" w:rsidRPr="000D7526" w:rsidRDefault="001736C4" w:rsidP="000174F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If a member of staff is unable to speak to their line manager, or if their line manager</w:t>
      </w:r>
      <w:r w:rsidR="00BC5AD0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 xml:space="preserve">is not supporting them, they can speak to </w:t>
      </w:r>
      <w:r w:rsidR="00442FED">
        <w:rPr>
          <w:rFonts w:ascii="Arial" w:hAnsi="Arial" w:cs="Arial"/>
        </w:rPr>
        <w:t>our chairperson</w:t>
      </w:r>
      <w:r w:rsidRPr="000D7526">
        <w:rPr>
          <w:rFonts w:ascii="Arial" w:hAnsi="Arial" w:cs="Arial"/>
        </w:rPr>
        <w:t xml:space="preserve"> or a Mental</w:t>
      </w:r>
      <w:r w:rsidR="001C6DBF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Health First Aider</w:t>
      </w:r>
      <w:r w:rsidR="001363FE">
        <w:rPr>
          <w:rFonts w:ascii="Arial" w:hAnsi="Arial" w:cs="Arial"/>
        </w:rPr>
        <w:t>.</w:t>
      </w:r>
    </w:p>
    <w:p w14:paraId="5131AAB3" w14:textId="77777777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All line managers should:</w:t>
      </w:r>
    </w:p>
    <w:p w14:paraId="796E6DAA" w14:textId="3F4DFD43" w:rsidR="001736C4" w:rsidRPr="000174FD" w:rsidRDefault="001736C4" w:rsidP="000174F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0174FD">
        <w:rPr>
          <w:rFonts w:ascii="Arial" w:hAnsi="Arial" w:cs="Arial"/>
        </w:rPr>
        <w:t>Familiarise themselves with the Menopause Policy</w:t>
      </w:r>
      <w:r w:rsidR="001363FE">
        <w:rPr>
          <w:rFonts w:ascii="Arial" w:hAnsi="Arial" w:cs="Arial"/>
        </w:rPr>
        <w:t>.</w:t>
      </w:r>
    </w:p>
    <w:p w14:paraId="5E9EE114" w14:textId="43CBAB16" w:rsidR="001736C4" w:rsidRPr="000174FD" w:rsidRDefault="001736C4" w:rsidP="000174F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0174FD">
        <w:rPr>
          <w:rFonts w:ascii="Arial" w:hAnsi="Arial" w:cs="Arial"/>
        </w:rPr>
        <w:t>Have open discussions about menopause,</w:t>
      </w:r>
      <w:r w:rsidR="001C6DBF" w:rsidRPr="000174FD">
        <w:rPr>
          <w:rFonts w:ascii="Arial" w:hAnsi="Arial" w:cs="Arial"/>
        </w:rPr>
        <w:t xml:space="preserve"> </w:t>
      </w:r>
      <w:r w:rsidRPr="000174FD">
        <w:rPr>
          <w:rFonts w:ascii="Arial" w:hAnsi="Arial" w:cs="Arial"/>
        </w:rPr>
        <w:t>treating the discussion sensitively and</w:t>
      </w:r>
      <w:r w:rsidR="00E90B12" w:rsidRPr="000174FD">
        <w:rPr>
          <w:rFonts w:ascii="Arial" w:hAnsi="Arial" w:cs="Arial"/>
        </w:rPr>
        <w:t xml:space="preserve"> </w:t>
      </w:r>
      <w:r w:rsidRPr="000174FD">
        <w:rPr>
          <w:rFonts w:ascii="Arial" w:hAnsi="Arial" w:cs="Arial"/>
        </w:rPr>
        <w:t>confidentially</w:t>
      </w:r>
      <w:r w:rsidR="001363FE">
        <w:rPr>
          <w:rFonts w:ascii="Arial" w:hAnsi="Arial" w:cs="Arial"/>
        </w:rPr>
        <w:t>.</w:t>
      </w:r>
    </w:p>
    <w:p w14:paraId="1B1C126F" w14:textId="316BB675" w:rsidR="001736C4" w:rsidRPr="000174FD" w:rsidRDefault="001736C4" w:rsidP="000174F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0174FD">
        <w:rPr>
          <w:rFonts w:ascii="Arial" w:hAnsi="Arial" w:cs="Arial"/>
        </w:rPr>
        <w:t>Record adjustments agreed, and any actions to be implemented</w:t>
      </w:r>
      <w:r w:rsidR="001363FE">
        <w:rPr>
          <w:rFonts w:ascii="Arial" w:hAnsi="Arial" w:cs="Arial"/>
        </w:rPr>
        <w:t>.</w:t>
      </w:r>
    </w:p>
    <w:p w14:paraId="1EFBE832" w14:textId="7DBBDAA4" w:rsidR="001736C4" w:rsidRPr="000174FD" w:rsidRDefault="001736C4" w:rsidP="000174F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0174FD">
        <w:rPr>
          <w:rFonts w:ascii="Arial" w:hAnsi="Arial" w:cs="Arial"/>
        </w:rPr>
        <w:t>Ensure ongoing dialogue and regular check-ins</w:t>
      </w:r>
      <w:r w:rsidR="001363FE">
        <w:rPr>
          <w:rFonts w:ascii="Arial" w:hAnsi="Arial" w:cs="Arial"/>
        </w:rPr>
        <w:t>.</w:t>
      </w:r>
    </w:p>
    <w:p w14:paraId="5792F196" w14:textId="199E6FDA" w:rsidR="001736C4" w:rsidRPr="000D7526" w:rsidRDefault="00442FED" w:rsidP="001736C4">
      <w:pPr>
        <w:rPr>
          <w:rFonts w:ascii="Arial" w:hAnsi="Arial" w:cs="Arial"/>
        </w:rPr>
      </w:pPr>
      <w:r>
        <w:rPr>
          <w:rFonts w:ascii="Arial" w:hAnsi="Arial" w:cs="Arial"/>
        </w:rPr>
        <w:t>Our committee</w:t>
      </w:r>
      <w:r w:rsidR="00DB1087" w:rsidRPr="000D7526">
        <w:rPr>
          <w:rFonts w:ascii="Arial" w:hAnsi="Arial" w:cs="Arial"/>
        </w:rPr>
        <w:t xml:space="preserve"> </w:t>
      </w:r>
      <w:r w:rsidR="001736C4" w:rsidRPr="000D7526">
        <w:rPr>
          <w:rFonts w:ascii="Arial" w:hAnsi="Arial" w:cs="Arial"/>
        </w:rPr>
        <w:t>will:</w:t>
      </w:r>
    </w:p>
    <w:p w14:paraId="3B4AD951" w14:textId="5360B3E7" w:rsidR="001736C4" w:rsidRPr="000D7526" w:rsidRDefault="001736C4" w:rsidP="000174F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Offer guidance to managers on the interpretation of this policy</w:t>
      </w:r>
      <w:r w:rsidR="005F69B3">
        <w:rPr>
          <w:rFonts w:ascii="Arial" w:hAnsi="Arial" w:cs="Arial"/>
        </w:rPr>
        <w:t>.</w:t>
      </w:r>
    </w:p>
    <w:p w14:paraId="5BF7F74F" w14:textId="12373102" w:rsidR="001736C4" w:rsidRDefault="001736C4" w:rsidP="000174F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Monitor and evaluate the effectiveness of this policy in respect of related absence</w:t>
      </w:r>
      <w:r w:rsidR="00847301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levels and performance</w:t>
      </w:r>
      <w:r w:rsidR="005F69B3">
        <w:rPr>
          <w:rFonts w:ascii="Arial" w:hAnsi="Arial" w:cs="Arial"/>
        </w:rPr>
        <w:t>.</w:t>
      </w:r>
    </w:p>
    <w:p w14:paraId="46B62C34" w14:textId="77777777" w:rsidR="005F69B3" w:rsidRPr="004E5DF1" w:rsidRDefault="005F69B3" w:rsidP="004E5DF1">
      <w:pPr>
        <w:rPr>
          <w:rFonts w:ascii="Arial" w:hAnsi="Arial" w:cs="Arial"/>
        </w:rPr>
      </w:pPr>
    </w:p>
    <w:p w14:paraId="52D78490" w14:textId="75A2971F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lastRenderedPageBreak/>
        <w:t>Mental Health First Aiders (MHFA)</w:t>
      </w:r>
      <w:r w:rsidR="00782259" w:rsidRPr="000D7526">
        <w:rPr>
          <w:rFonts w:ascii="Arial" w:hAnsi="Arial" w:cs="Arial"/>
        </w:rPr>
        <w:t>*</w:t>
      </w:r>
      <w:r w:rsidR="005239D8" w:rsidRPr="000D7526">
        <w:rPr>
          <w:rFonts w:ascii="Arial" w:hAnsi="Arial" w:cs="Arial"/>
        </w:rPr>
        <w:t xml:space="preserve"> should:</w:t>
      </w:r>
    </w:p>
    <w:p w14:paraId="1C6B9507" w14:textId="39C3A804" w:rsidR="005239D8" w:rsidRPr="000D7526" w:rsidRDefault="00782259" w:rsidP="000174F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Identify early signs of low wellbeing</w:t>
      </w:r>
      <w:r w:rsidR="005F69B3">
        <w:rPr>
          <w:rFonts w:ascii="Arial" w:hAnsi="Arial" w:cs="Arial"/>
        </w:rPr>
        <w:t>.</w:t>
      </w:r>
    </w:p>
    <w:p w14:paraId="582F54BC" w14:textId="4EF475B2" w:rsidR="006E5396" w:rsidRPr="000D7526" w:rsidRDefault="006E5396" w:rsidP="000174F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Talk through </w:t>
      </w:r>
      <w:r w:rsidR="00ED47B9" w:rsidRPr="000D7526">
        <w:rPr>
          <w:rFonts w:ascii="Arial" w:hAnsi="Arial" w:cs="Arial"/>
        </w:rPr>
        <w:t>the individuals concerns and find out about seeking further assistance</w:t>
      </w:r>
      <w:r w:rsidR="005F69B3">
        <w:rPr>
          <w:rFonts w:ascii="Arial" w:hAnsi="Arial" w:cs="Arial"/>
        </w:rPr>
        <w:t>.</w:t>
      </w:r>
    </w:p>
    <w:p w14:paraId="3D4A9702" w14:textId="710A3217" w:rsidR="006E5396" w:rsidRPr="000D7526" w:rsidRDefault="006E5396" w:rsidP="000174F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Signpost individuals to support as needed</w:t>
      </w:r>
      <w:r w:rsidR="00D97381">
        <w:rPr>
          <w:rFonts w:ascii="Arial" w:hAnsi="Arial" w:cs="Arial"/>
        </w:rPr>
        <w:t>.</w:t>
      </w:r>
    </w:p>
    <w:p w14:paraId="58DA98D9" w14:textId="15797C5E" w:rsidR="00782259" w:rsidRPr="000D7526" w:rsidRDefault="00782259" w:rsidP="00782259">
      <w:pPr>
        <w:rPr>
          <w:rFonts w:ascii="Arial" w:hAnsi="Arial" w:cs="Arial"/>
        </w:rPr>
      </w:pPr>
      <w:r w:rsidRPr="004E5DF1">
        <w:rPr>
          <w:rFonts w:ascii="Arial" w:hAnsi="Arial" w:cs="Arial"/>
        </w:rPr>
        <w:t>*See Building a Resilient Workforce (</w:t>
      </w:r>
      <w:r w:rsidR="00A634D0" w:rsidRPr="004E5DF1">
        <w:rPr>
          <w:rFonts w:ascii="Arial" w:hAnsi="Arial" w:cs="Arial"/>
        </w:rPr>
        <w:t>Early Years Alliance 2019)</w:t>
      </w:r>
    </w:p>
    <w:p w14:paraId="58FB2683" w14:textId="6A91019B" w:rsidR="001736C4" w:rsidRPr="000D7526" w:rsidRDefault="001736C4" w:rsidP="001736C4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Support</w:t>
      </w:r>
    </w:p>
    <w:p w14:paraId="0D07DB52" w14:textId="77777777" w:rsidR="00892D96" w:rsidRDefault="00892D96" w:rsidP="00892D9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Reasonable Adjustments</w:t>
      </w:r>
    </w:p>
    <w:p w14:paraId="01758573" w14:textId="0B0FEF5B" w:rsidR="00892D96" w:rsidRDefault="00892D96" w:rsidP="00892D96">
      <w:pPr>
        <w:rPr>
          <w:rFonts w:ascii="Arial" w:hAnsi="Arial" w:cs="Arial"/>
        </w:rPr>
      </w:pPr>
      <w:r>
        <w:rPr>
          <w:rFonts w:ascii="Arial" w:hAnsi="Arial" w:cs="Arial"/>
        </w:rPr>
        <w:t>In some cases,</w:t>
      </w:r>
      <w:r w:rsidRPr="002554C1">
        <w:rPr>
          <w:rFonts w:ascii="Arial" w:hAnsi="Arial" w:cs="Arial"/>
        </w:rPr>
        <w:t xml:space="preserve"> menopause symptoms </w:t>
      </w:r>
      <w:r>
        <w:rPr>
          <w:rFonts w:ascii="Arial" w:hAnsi="Arial" w:cs="Arial"/>
        </w:rPr>
        <w:t xml:space="preserve">can </w:t>
      </w:r>
      <w:r w:rsidRPr="002554C1">
        <w:rPr>
          <w:rFonts w:ascii="Arial" w:hAnsi="Arial" w:cs="Arial"/>
        </w:rPr>
        <w:t>have a long term and substantial impact on a</w:t>
      </w:r>
      <w:r>
        <w:rPr>
          <w:rFonts w:ascii="Arial" w:hAnsi="Arial" w:cs="Arial"/>
        </w:rPr>
        <w:t>n</w:t>
      </w:r>
      <w:r w:rsidRPr="002554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employee’s</w:t>
      </w:r>
      <w:r w:rsidRPr="002554C1">
        <w:rPr>
          <w:rFonts w:ascii="Arial" w:hAnsi="Arial" w:cs="Arial"/>
        </w:rPr>
        <w:t xml:space="preserve"> ability to carry out normal day-to-day activities, these symptoms could be considered a disability. </w:t>
      </w:r>
      <w:r>
        <w:rPr>
          <w:rFonts w:ascii="Arial" w:hAnsi="Arial" w:cs="Arial"/>
        </w:rPr>
        <w:t>In cases where</w:t>
      </w:r>
      <w:r w:rsidRPr="002554C1">
        <w:rPr>
          <w:rFonts w:ascii="Arial" w:hAnsi="Arial" w:cs="Arial"/>
        </w:rPr>
        <w:t xml:space="preserve"> menopause symptoms amount to a disability, </w:t>
      </w:r>
      <w:r>
        <w:rPr>
          <w:rFonts w:ascii="Arial" w:hAnsi="Arial" w:cs="Arial"/>
        </w:rPr>
        <w:t xml:space="preserve">an employer </w:t>
      </w:r>
      <w:r w:rsidRPr="002554C1">
        <w:rPr>
          <w:rFonts w:ascii="Arial" w:hAnsi="Arial" w:cs="Arial"/>
        </w:rPr>
        <w:t>will be under a legal obligation to make reasonable adjustments</w:t>
      </w:r>
      <w:r w:rsidR="001724F7">
        <w:rPr>
          <w:rFonts w:ascii="Arial" w:hAnsi="Arial" w:cs="Arial"/>
        </w:rPr>
        <w:t xml:space="preserve"> in line with the Equality</w:t>
      </w:r>
      <w:r w:rsidR="008038C0">
        <w:rPr>
          <w:rFonts w:ascii="Arial" w:hAnsi="Arial" w:cs="Arial"/>
        </w:rPr>
        <w:t xml:space="preserve"> Act 2010</w:t>
      </w:r>
      <w:r w:rsidRPr="002554C1">
        <w:rPr>
          <w:rFonts w:ascii="Arial" w:hAnsi="Arial" w:cs="Arial"/>
        </w:rPr>
        <w:t>.</w:t>
      </w:r>
    </w:p>
    <w:p w14:paraId="36015C50" w14:textId="10CBA733" w:rsidR="001736C4" w:rsidRPr="000D7526" w:rsidRDefault="001736C4" w:rsidP="001736C4">
      <w:pPr>
        <w:rPr>
          <w:rFonts w:ascii="Arial" w:hAnsi="Arial" w:cs="Arial"/>
          <w:i/>
          <w:iCs/>
        </w:rPr>
      </w:pPr>
      <w:r w:rsidRPr="000D7526">
        <w:rPr>
          <w:rFonts w:ascii="Arial" w:hAnsi="Arial" w:cs="Arial"/>
          <w:i/>
          <w:iCs/>
        </w:rPr>
        <w:t xml:space="preserve">Temperature control in </w:t>
      </w:r>
      <w:r w:rsidR="00B9062E" w:rsidRPr="000D7526">
        <w:rPr>
          <w:rFonts w:ascii="Arial" w:hAnsi="Arial" w:cs="Arial"/>
          <w:i/>
          <w:iCs/>
        </w:rPr>
        <w:t>settings</w:t>
      </w:r>
    </w:p>
    <w:p w14:paraId="525A8DEB" w14:textId="715BE166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The </w:t>
      </w:r>
      <w:r w:rsidR="00847301" w:rsidRPr="000D7526">
        <w:rPr>
          <w:rFonts w:ascii="Arial" w:hAnsi="Arial" w:cs="Arial"/>
        </w:rPr>
        <w:t>setting</w:t>
      </w:r>
      <w:r w:rsidRPr="000D7526">
        <w:rPr>
          <w:rFonts w:ascii="Arial" w:hAnsi="Arial" w:cs="Arial"/>
        </w:rPr>
        <w:t xml:space="preserve"> strives to achieve a comfortable working temperature for employees and will</w:t>
      </w:r>
      <w:r w:rsidR="00847301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allow flexibility within its dress code where reasonable.</w:t>
      </w:r>
    </w:p>
    <w:p w14:paraId="7703645B" w14:textId="2485E3EF" w:rsidR="001736C4" w:rsidRPr="000D7526" w:rsidRDefault="001736C4" w:rsidP="001736C4">
      <w:pPr>
        <w:rPr>
          <w:rFonts w:ascii="Arial" w:hAnsi="Arial" w:cs="Arial"/>
          <w:i/>
          <w:iCs/>
        </w:rPr>
      </w:pPr>
      <w:r w:rsidRPr="000D7526">
        <w:rPr>
          <w:rFonts w:ascii="Arial" w:hAnsi="Arial" w:cs="Arial"/>
          <w:i/>
          <w:iCs/>
        </w:rPr>
        <w:t>Flexible working</w:t>
      </w:r>
    </w:p>
    <w:p w14:paraId="6CC6154A" w14:textId="70B71449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The </w:t>
      </w:r>
      <w:r w:rsidR="0023475E" w:rsidRPr="000D7526">
        <w:rPr>
          <w:rFonts w:ascii="Arial" w:hAnsi="Arial" w:cs="Arial"/>
        </w:rPr>
        <w:t>setting</w:t>
      </w:r>
      <w:r w:rsidRPr="000D7526">
        <w:rPr>
          <w:rFonts w:ascii="Arial" w:hAnsi="Arial" w:cs="Arial"/>
        </w:rPr>
        <w:t xml:space="preserve"> recognises that difficulty sleeping is a common symptom of the menopause.</w:t>
      </w:r>
      <w:r w:rsidR="0023475E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To reflect this, as well as the impact of other common symptoms, we aim to facilitate flexible</w:t>
      </w:r>
      <w:r w:rsidR="0023475E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 xml:space="preserve">working wherever possible. </w:t>
      </w:r>
    </w:p>
    <w:p w14:paraId="5356975D" w14:textId="77777777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Requests for flexible working could include asking for:</w:t>
      </w:r>
    </w:p>
    <w:p w14:paraId="3BF9A872" w14:textId="12BEA31D" w:rsidR="001736C4" w:rsidRPr="000D7526" w:rsidRDefault="00432960" w:rsidP="000174F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A</w:t>
      </w:r>
      <w:r w:rsidR="001736C4" w:rsidRPr="000D7526">
        <w:rPr>
          <w:rFonts w:ascii="Arial" w:hAnsi="Arial" w:cs="Arial"/>
        </w:rPr>
        <w:t xml:space="preserve"> change to the pattern of hours worked</w:t>
      </w:r>
    </w:p>
    <w:p w14:paraId="73BFF933" w14:textId="655CB397" w:rsidR="001736C4" w:rsidRPr="000D7526" w:rsidRDefault="00432960" w:rsidP="000174F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A</w:t>
      </w:r>
      <w:r w:rsidR="001736C4" w:rsidRPr="000D7526">
        <w:rPr>
          <w:rFonts w:ascii="Arial" w:hAnsi="Arial" w:cs="Arial"/>
        </w:rPr>
        <w:t xml:space="preserve"> reduction in working hours</w:t>
      </w:r>
    </w:p>
    <w:p w14:paraId="26C806ED" w14:textId="6DE40FAE" w:rsidR="001736C4" w:rsidRPr="000D7526" w:rsidRDefault="00432960" w:rsidP="000174F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M</w:t>
      </w:r>
      <w:r w:rsidR="001736C4" w:rsidRPr="000D7526">
        <w:rPr>
          <w:rFonts w:ascii="Arial" w:hAnsi="Arial" w:cs="Arial"/>
        </w:rPr>
        <w:t>ore frequent breaks</w:t>
      </w:r>
    </w:p>
    <w:p w14:paraId="693863BF" w14:textId="31F3F0C0" w:rsidR="001736C4" w:rsidRPr="000D7526" w:rsidRDefault="001736C4" w:rsidP="001736C4">
      <w:pPr>
        <w:rPr>
          <w:rFonts w:ascii="Arial" w:hAnsi="Arial" w:cs="Arial"/>
        </w:rPr>
      </w:pPr>
      <w:r w:rsidRPr="74735879">
        <w:rPr>
          <w:rFonts w:ascii="Arial" w:hAnsi="Arial" w:cs="Arial"/>
        </w:rPr>
        <w:t>Employees should discuss such requests with their line manager in the first instance.</w:t>
      </w:r>
      <w:r w:rsidR="00432960" w:rsidRPr="74735879">
        <w:rPr>
          <w:rFonts w:ascii="Arial" w:hAnsi="Arial" w:cs="Arial"/>
        </w:rPr>
        <w:t xml:space="preserve"> </w:t>
      </w:r>
      <w:r w:rsidRPr="74735879">
        <w:rPr>
          <w:rFonts w:ascii="Arial" w:hAnsi="Arial" w:cs="Arial"/>
        </w:rPr>
        <w:t>Depending on the circumstances,</w:t>
      </w:r>
      <w:r w:rsidR="00432960" w:rsidRPr="74735879">
        <w:rPr>
          <w:rFonts w:ascii="Arial" w:hAnsi="Arial" w:cs="Arial"/>
        </w:rPr>
        <w:t xml:space="preserve"> </w:t>
      </w:r>
      <w:r w:rsidRPr="74735879">
        <w:rPr>
          <w:rFonts w:ascii="Arial" w:hAnsi="Arial" w:cs="Arial"/>
        </w:rPr>
        <w:t>requests may be approved on a permanent or temporary basis.</w:t>
      </w:r>
    </w:p>
    <w:p w14:paraId="3357819C" w14:textId="3B77BCFE" w:rsidR="001736C4" w:rsidRPr="000D7526" w:rsidRDefault="001736C4" w:rsidP="001736C4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Data protection</w:t>
      </w:r>
    </w:p>
    <w:p w14:paraId="4EE171A8" w14:textId="0BA6E3FD" w:rsidR="001736C4" w:rsidRPr="000D7526" w:rsidRDefault="001736C4" w:rsidP="001736C4">
      <w:pPr>
        <w:rPr>
          <w:rFonts w:ascii="Arial" w:hAnsi="Arial" w:cs="Arial"/>
        </w:rPr>
      </w:pPr>
      <w:r w:rsidRPr="000D7526">
        <w:rPr>
          <w:rFonts w:ascii="Arial" w:hAnsi="Arial" w:cs="Arial"/>
        </w:rPr>
        <w:t>We will process any personal data collected in accordance with its data protection policy.</w:t>
      </w:r>
      <w:r w:rsidR="00A2587D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Data collected from the point at which we become aware of the issue is held securely and</w:t>
      </w:r>
      <w:r w:rsidR="00A2587D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accessed by, and disclosed to, individuals only for the purposes of providing the necessary</w:t>
      </w:r>
      <w:r w:rsidR="00A2587D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support.</w:t>
      </w:r>
    </w:p>
    <w:p w14:paraId="55171AC7" w14:textId="1DDA4082" w:rsidR="001736C4" w:rsidRPr="000D7526" w:rsidRDefault="00A965AE" w:rsidP="001736C4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Further information</w:t>
      </w:r>
    </w:p>
    <w:p w14:paraId="200BA00E" w14:textId="3CE7B0B5" w:rsidR="006453CF" w:rsidRPr="000D7526" w:rsidRDefault="006453CF" w:rsidP="000174F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The National Health Service provides an overview of menopause </w:t>
      </w:r>
      <w:hyperlink r:id="rId8" w:history="1">
        <w:r w:rsidRPr="000D7526">
          <w:rPr>
            <w:rStyle w:val="Hyperlink"/>
            <w:rFonts w:ascii="Arial" w:hAnsi="Arial" w:cs="Arial"/>
          </w:rPr>
          <w:t>www.nhs.uk/Conditions/Menopause/Pages/Introduction.aspx</w:t>
        </w:r>
      </w:hyperlink>
    </w:p>
    <w:p w14:paraId="6D8E6C9F" w14:textId="1E159451" w:rsidR="001736C4" w:rsidRPr="000D7526" w:rsidRDefault="009A2D76" w:rsidP="000174F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The </w:t>
      </w:r>
      <w:r w:rsidR="001736C4" w:rsidRPr="000D7526">
        <w:rPr>
          <w:rFonts w:ascii="Arial" w:hAnsi="Arial" w:cs="Arial"/>
        </w:rPr>
        <w:t>National Institute for Health and Care Excellence (NICE) guidelines</w:t>
      </w:r>
      <w:r w:rsidR="000A105A" w:rsidRPr="000D7526">
        <w:rPr>
          <w:rFonts w:ascii="Arial" w:hAnsi="Arial" w:cs="Arial"/>
        </w:rPr>
        <w:t xml:space="preserve"> </w:t>
      </w:r>
      <w:r w:rsidR="001736C4" w:rsidRPr="000D7526">
        <w:rPr>
          <w:rFonts w:ascii="Arial" w:hAnsi="Arial" w:cs="Arial"/>
        </w:rPr>
        <w:t xml:space="preserve">explain how </w:t>
      </w:r>
      <w:r w:rsidR="000A105A" w:rsidRPr="000D7526">
        <w:rPr>
          <w:rFonts w:ascii="Arial" w:hAnsi="Arial" w:cs="Arial"/>
        </w:rPr>
        <w:t>a</w:t>
      </w:r>
      <w:r w:rsidR="001736C4" w:rsidRPr="000D7526">
        <w:rPr>
          <w:rFonts w:ascii="Arial" w:hAnsi="Arial" w:cs="Arial"/>
        </w:rPr>
        <w:t xml:space="preserve"> GP will determine what types of treatments and interventions</w:t>
      </w:r>
      <w:r w:rsidR="000A105A" w:rsidRPr="000D7526">
        <w:rPr>
          <w:rFonts w:ascii="Arial" w:hAnsi="Arial" w:cs="Arial"/>
        </w:rPr>
        <w:t xml:space="preserve"> </w:t>
      </w:r>
      <w:r w:rsidR="001736C4" w:rsidRPr="000D7526">
        <w:rPr>
          <w:rFonts w:ascii="Arial" w:hAnsi="Arial" w:cs="Arial"/>
        </w:rPr>
        <w:t xml:space="preserve">they can offer </w:t>
      </w:r>
      <w:hyperlink r:id="rId9" w:history="1">
        <w:r w:rsidR="000A105A" w:rsidRPr="000D7526">
          <w:rPr>
            <w:rStyle w:val="Hyperlink"/>
            <w:rFonts w:ascii="Arial" w:hAnsi="Arial" w:cs="Arial"/>
          </w:rPr>
          <w:t>www.nice.org.uk/guidance/ng23/ifp/chapter/About-this-information</w:t>
        </w:r>
      </w:hyperlink>
    </w:p>
    <w:p w14:paraId="68E93CBB" w14:textId="01366035" w:rsidR="001736C4" w:rsidRPr="000D7526" w:rsidRDefault="001736C4" w:rsidP="000174F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The Royal College of Obstetricians and Gynaecologists</w:t>
      </w:r>
      <w:r w:rsidR="00BB23FA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offer further information</w:t>
      </w:r>
      <w:r w:rsidR="00BB23FA" w:rsidRPr="000D7526">
        <w:rPr>
          <w:rFonts w:ascii="Arial" w:hAnsi="Arial" w:cs="Arial"/>
        </w:rPr>
        <w:t xml:space="preserve"> </w:t>
      </w:r>
      <w:hyperlink r:id="rId10" w:history="1">
        <w:r w:rsidR="00BB23FA" w:rsidRPr="000D7526">
          <w:rPr>
            <w:rStyle w:val="Hyperlink"/>
            <w:rFonts w:ascii="Arial" w:hAnsi="Arial" w:cs="Arial"/>
          </w:rPr>
          <w:t>www.rcog.org.uk/en/patients/menopause/</w:t>
        </w:r>
      </w:hyperlink>
    </w:p>
    <w:p w14:paraId="237AC90D" w14:textId="686837ED" w:rsidR="006B7DD2" w:rsidRPr="000D7526" w:rsidRDefault="006B7DD2" w:rsidP="000174F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The Daisy Network</w:t>
      </w:r>
      <w:r w:rsidR="00783625" w:rsidRPr="000D7526">
        <w:rPr>
          <w:rFonts w:ascii="Arial" w:hAnsi="Arial" w:cs="Arial"/>
        </w:rPr>
        <w:t xml:space="preserve"> provides support to women, along with the families and partners, who have been diagnosed with</w:t>
      </w:r>
      <w:r w:rsidRPr="000D7526">
        <w:rPr>
          <w:rFonts w:ascii="Arial" w:hAnsi="Arial" w:cs="Arial"/>
        </w:rPr>
        <w:t xml:space="preserve"> </w:t>
      </w:r>
      <w:r w:rsidR="001736C4" w:rsidRPr="000D7526">
        <w:rPr>
          <w:rFonts w:ascii="Arial" w:hAnsi="Arial" w:cs="Arial"/>
        </w:rPr>
        <w:t>Premature Ovarian Insufficiency (POI</w:t>
      </w:r>
      <w:r w:rsidR="005D0030" w:rsidRPr="000D7526">
        <w:rPr>
          <w:rFonts w:ascii="Arial" w:hAnsi="Arial" w:cs="Arial"/>
        </w:rPr>
        <w:t xml:space="preserve">) </w:t>
      </w:r>
      <w:hyperlink r:id="rId11" w:history="1">
        <w:r w:rsidRPr="000D7526">
          <w:rPr>
            <w:rStyle w:val="Hyperlink"/>
            <w:rFonts w:ascii="Arial" w:hAnsi="Arial" w:cs="Arial"/>
          </w:rPr>
          <w:t>www.daisynetwork.org/</w:t>
        </w:r>
      </w:hyperlink>
    </w:p>
    <w:p w14:paraId="66891963" w14:textId="1A8DFA6F" w:rsidR="001E50AB" w:rsidRPr="000D7526" w:rsidRDefault="009A2D76" w:rsidP="000174F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The Royal College of Obstetricians &amp; Gynaecologists provide i</w:t>
      </w:r>
      <w:r w:rsidR="001E50AB" w:rsidRPr="000D7526">
        <w:rPr>
          <w:rFonts w:ascii="Arial" w:hAnsi="Arial" w:cs="Arial"/>
        </w:rPr>
        <w:t>nformation for women, their partners and families about hysterectomies</w:t>
      </w:r>
      <w:r w:rsidR="005D0030" w:rsidRPr="000D7526">
        <w:rPr>
          <w:rFonts w:ascii="Arial" w:hAnsi="Arial" w:cs="Arial"/>
        </w:rPr>
        <w:t xml:space="preserve"> </w:t>
      </w:r>
      <w:hyperlink r:id="rId12" w:history="1">
        <w:r w:rsidR="004E5DF1" w:rsidRPr="005A0E46">
          <w:rPr>
            <w:rStyle w:val="Hyperlink"/>
            <w:rFonts w:ascii="Arial" w:hAnsi="Arial" w:cs="Arial"/>
          </w:rPr>
          <w:t>www.rcog.org.uk/en/patients/menopause/hysterectomy/</w:t>
        </w:r>
      </w:hyperlink>
    </w:p>
    <w:p w14:paraId="0E5C3B91" w14:textId="3FB69787" w:rsidR="00536497" w:rsidRPr="000D7526" w:rsidRDefault="00536497" w:rsidP="000174F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The Menopause Charity</w:t>
      </w:r>
      <w:r w:rsidR="0019131F" w:rsidRPr="000D7526">
        <w:rPr>
          <w:rFonts w:ascii="Arial" w:hAnsi="Arial" w:cs="Arial"/>
        </w:rPr>
        <w:t xml:space="preserve">’s mission is to bust myths, overcome ignorance and make menopause symptoms history </w:t>
      </w:r>
      <w:hyperlink r:id="rId13" w:history="1">
        <w:r w:rsidR="002D48ED" w:rsidRPr="000D7526">
          <w:rPr>
            <w:rStyle w:val="Hyperlink"/>
            <w:rFonts w:ascii="Arial" w:hAnsi="Arial" w:cs="Arial"/>
          </w:rPr>
          <w:t>www.themenopausecharity.org/</w:t>
        </w:r>
      </w:hyperlink>
    </w:p>
    <w:p w14:paraId="7C1AE1BB" w14:textId="681E62BA" w:rsidR="001736C4" w:rsidRPr="000D7526" w:rsidRDefault="001736C4" w:rsidP="000174F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Henpicked </w:t>
      </w:r>
      <w:r w:rsidR="000A5A10" w:rsidRPr="000D7526">
        <w:rPr>
          <w:rFonts w:ascii="Arial" w:hAnsi="Arial" w:cs="Arial"/>
        </w:rPr>
        <w:t xml:space="preserve">provides a website </w:t>
      </w:r>
      <w:r w:rsidR="002431A8" w:rsidRPr="000D7526">
        <w:rPr>
          <w:rFonts w:ascii="Arial" w:hAnsi="Arial" w:cs="Arial"/>
        </w:rPr>
        <w:t>for women to discuss menopause and fin</w:t>
      </w:r>
      <w:r w:rsidR="00D8463A">
        <w:rPr>
          <w:rFonts w:ascii="Arial" w:hAnsi="Arial" w:cs="Arial"/>
        </w:rPr>
        <w:t>d</w:t>
      </w:r>
      <w:r w:rsidR="002431A8" w:rsidRPr="000D7526">
        <w:rPr>
          <w:rFonts w:ascii="Arial" w:hAnsi="Arial" w:cs="Arial"/>
        </w:rPr>
        <w:t xml:space="preserve"> inspirational life stories, tips and advice</w:t>
      </w:r>
      <w:r w:rsidR="005D0030" w:rsidRPr="000D7526">
        <w:rPr>
          <w:rFonts w:ascii="Arial" w:hAnsi="Arial" w:cs="Arial"/>
        </w:rPr>
        <w:t xml:space="preserve"> </w:t>
      </w:r>
      <w:hyperlink r:id="rId14" w:history="1">
        <w:r w:rsidR="00B91561" w:rsidRPr="000D7526">
          <w:rPr>
            <w:rStyle w:val="Hyperlink"/>
            <w:rFonts w:ascii="Arial" w:hAnsi="Arial" w:cs="Arial"/>
          </w:rPr>
          <w:t>henpicked.net</w:t>
        </w:r>
      </w:hyperlink>
    </w:p>
    <w:p w14:paraId="75F3C7CB" w14:textId="60BACF3D" w:rsidR="001736C4" w:rsidRPr="000D7526" w:rsidRDefault="001736C4" w:rsidP="000174F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lastRenderedPageBreak/>
        <w:t>Menopause Matters provides information about menopause,</w:t>
      </w:r>
      <w:r w:rsidR="00B91561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 xml:space="preserve">menopausal symptoms and treatment options </w:t>
      </w:r>
      <w:hyperlink r:id="rId15" w:history="1">
        <w:r w:rsidR="006D37B4" w:rsidRPr="000D7526">
          <w:rPr>
            <w:rStyle w:val="Hyperlink"/>
            <w:rFonts w:ascii="Arial" w:hAnsi="Arial" w:cs="Arial"/>
          </w:rPr>
          <w:t>www.menopausematters.co.uk</w:t>
        </w:r>
      </w:hyperlink>
    </w:p>
    <w:p w14:paraId="0FD196C4" w14:textId="6A2A188B" w:rsidR="001736C4" w:rsidRPr="000D7526" w:rsidRDefault="001736C4" w:rsidP="000174FD">
      <w:pPr>
        <w:pStyle w:val="ListParagraph"/>
        <w:numPr>
          <w:ilvl w:val="0"/>
          <w:numId w:val="26"/>
        </w:numPr>
        <w:rPr>
          <w:rStyle w:val="Hyperlink"/>
          <w:rFonts w:ascii="Arial" w:hAnsi="Arial" w:cs="Arial"/>
          <w:color w:val="auto"/>
          <w:u w:val="none"/>
        </w:rPr>
      </w:pPr>
      <w:r w:rsidRPr="000D7526">
        <w:rPr>
          <w:rFonts w:ascii="Arial" w:hAnsi="Arial" w:cs="Arial"/>
        </w:rPr>
        <w:t xml:space="preserve">Menopause Café </w:t>
      </w:r>
      <w:r w:rsidR="00D83B63" w:rsidRPr="000D7526">
        <w:rPr>
          <w:rFonts w:ascii="Arial" w:hAnsi="Arial" w:cs="Arial"/>
        </w:rPr>
        <w:t>deliver events where people can</w:t>
      </w:r>
      <w:r w:rsidR="005D0030" w:rsidRPr="000D752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gather to eat cake, drink tea and discuss menopause</w:t>
      </w:r>
      <w:r w:rsidR="00D83B63" w:rsidRPr="000D7526">
        <w:rPr>
          <w:rFonts w:ascii="Arial" w:hAnsi="Arial" w:cs="Arial"/>
        </w:rPr>
        <w:t xml:space="preserve"> </w:t>
      </w:r>
      <w:hyperlink r:id="rId16" w:history="1">
        <w:r w:rsidR="00D83B63" w:rsidRPr="000D7526">
          <w:rPr>
            <w:rStyle w:val="Hyperlink"/>
            <w:rFonts w:ascii="Arial" w:hAnsi="Arial" w:cs="Arial"/>
          </w:rPr>
          <w:t>www.menopausecafe.net</w:t>
        </w:r>
      </w:hyperlink>
    </w:p>
    <w:p w14:paraId="7449C8CC" w14:textId="77777777" w:rsidR="00D638E3" w:rsidRPr="000D7526" w:rsidRDefault="00D638E3" w:rsidP="005651E9">
      <w:pPr>
        <w:rPr>
          <w:rFonts w:ascii="Arial" w:hAnsi="Arial" w:cs="Arial"/>
          <w:b/>
          <w:bCs/>
        </w:rPr>
        <w:sectPr w:rsidR="00D638E3" w:rsidRPr="000D7526" w:rsidSect="0077741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3AE1690" w14:textId="1B42FF53" w:rsidR="005651E9" w:rsidRPr="000D7526" w:rsidRDefault="005651E9" w:rsidP="005651E9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lastRenderedPageBreak/>
        <w:t>Appendix 1</w:t>
      </w:r>
    </w:p>
    <w:p w14:paraId="28A46FC0" w14:textId="77777777" w:rsidR="005651E9" w:rsidRPr="000D7526" w:rsidRDefault="005651E9" w:rsidP="005651E9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Confidential Colleague Discussion – Template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6039"/>
      </w:tblGrid>
      <w:tr w:rsidR="005651E9" w:rsidRPr="000D7526" w14:paraId="2C55DA19" w14:textId="77777777" w:rsidTr="002458C4">
        <w:tc>
          <w:tcPr>
            <w:tcW w:w="2041" w:type="pct"/>
          </w:tcPr>
          <w:p w14:paraId="475FDFA2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Name:</w:t>
            </w:r>
          </w:p>
        </w:tc>
        <w:tc>
          <w:tcPr>
            <w:tcW w:w="2959" w:type="pct"/>
            <w:tcBorders>
              <w:bottom w:val="dashed" w:sz="4" w:space="0" w:color="auto"/>
            </w:tcBorders>
          </w:tcPr>
          <w:p w14:paraId="44131D3F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51E9" w:rsidRPr="000D7526" w14:paraId="13E84F9F" w14:textId="77777777" w:rsidTr="002458C4">
        <w:tc>
          <w:tcPr>
            <w:tcW w:w="2041" w:type="pct"/>
          </w:tcPr>
          <w:p w14:paraId="749CAD3F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Job Title</w:t>
            </w:r>
          </w:p>
        </w:tc>
        <w:tc>
          <w:tcPr>
            <w:tcW w:w="2959" w:type="pct"/>
            <w:tcBorders>
              <w:top w:val="dashed" w:sz="4" w:space="0" w:color="auto"/>
              <w:bottom w:val="dashed" w:sz="4" w:space="0" w:color="auto"/>
            </w:tcBorders>
          </w:tcPr>
          <w:p w14:paraId="39AF449F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51E9" w:rsidRPr="000D7526" w14:paraId="585A42F1" w14:textId="77777777" w:rsidTr="002458C4">
        <w:tc>
          <w:tcPr>
            <w:tcW w:w="2041" w:type="pct"/>
          </w:tcPr>
          <w:p w14:paraId="524341A8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Present at meeting</w:t>
            </w:r>
          </w:p>
        </w:tc>
        <w:tc>
          <w:tcPr>
            <w:tcW w:w="2959" w:type="pct"/>
            <w:tcBorders>
              <w:top w:val="dashed" w:sz="4" w:space="0" w:color="auto"/>
              <w:bottom w:val="dashed" w:sz="4" w:space="0" w:color="auto"/>
            </w:tcBorders>
          </w:tcPr>
          <w:p w14:paraId="793A9B07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51E9" w:rsidRPr="000D7526" w14:paraId="765F8B36" w14:textId="77777777" w:rsidTr="002458C4">
        <w:tc>
          <w:tcPr>
            <w:tcW w:w="2041" w:type="pct"/>
          </w:tcPr>
          <w:p w14:paraId="19C70ADE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59" w:type="pct"/>
            <w:tcBorders>
              <w:top w:val="dashed" w:sz="4" w:space="0" w:color="auto"/>
            </w:tcBorders>
          </w:tcPr>
          <w:p w14:paraId="03F8AF08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(line manager name and position)</w:t>
            </w:r>
          </w:p>
        </w:tc>
      </w:tr>
      <w:tr w:rsidR="005651E9" w:rsidRPr="000D7526" w14:paraId="7197BAC5" w14:textId="77777777" w:rsidTr="002458C4">
        <w:tc>
          <w:tcPr>
            <w:tcW w:w="2041" w:type="pct"/>
          </w:tcPr>
          <w:p w14:paraId="4A6C977E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Date of discussion</w:t>
            </w:r>
          </w:p>
        </w:tc>
        <w:tc>
          <w:tcPr>
            <w:tcW w:w="2959" w:type="pct"/>
            <w:tcBorders>
              <w:bottom w:val="dashed" w:sz="4" w:space="0" w:color="auto"/>
            </w:tcBorders>
          </w:tcPr>
          <w:p w14:paraId="42FCA6CC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51E9" w:rsidRPr="000D7526" w14:paraId="62FD0772" w14:textId="77777777" w:rsidTr="002458C4">
        <w:tc>
          <w:tcPr>
            <w:tcW w:w="2041" w:type="pct"/>
            <w:tcBorders>
              <w:bottom w:val="dashed" w:sz="4" w:space="0" w:color="auto"/>
            </w:tcBorders>
          </w:tcPr>
          <w:p w14:paraId="64E50F86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Summary of Discussion:</w:t>
            </w:r>
          </w:p>
        </w:tc>
        <w:tc>
          <w:tcPr>
            <w:tcW w:w="2959" w:type="pct"/>
            <w:tcBorders>
              <w:top w:val="dashed" w:sz="4" w:space="0" w:color="auto"/>
              <w:bottom w:val="dashed" w:sz="4" w:space="0" w:color="auto"/>
            </w:tcBorders>
          </w:tcPr>
          <w:p w14:paraId="4291808A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51E9" w:rsidRPr="000D7526" w14:paraId="64571C66" w14:textId="77777777" w:rsidTr="002458C4">
        <w:tc>
          <w:tcPr>
            <w:tcW w:w="50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138E09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  <w:p w14:paraId="293CBF25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  <w:p w14:paraId="1A7DBA0C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51E9" w:rsidRPr="000D7526" w14:paraId="5E39F185" w14:textId="77777777" w:rsidTr="002458C4">
        <w:tc>
          <w:tcPr>
            <w:tcW w:w="2041" w:type="pct"/>
            <w:tcBorders>
              <w:top w:val="dashed" w:sz="4" w:space="0" w:color="auto"/>
              <w:bottom w:val="dashed" w:sz="4" w:space="0" w:color="auto"/>
            </w:tcBorders>
          </w:tcPr>
          <w:p w14:paraId="7CE95E2D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Agreed Actions/Adjustments:</w:t>
            </w:r>
          </w:p>
        </w:tc>
        <w:tc>
          <w:tcPr>
            <w:tcW w:w="2959" w:type="pct"/>
            <w:tcBorders>
              <w:top w:val="dashed" w:sz="4" w:space="0" w:color="auto"/>
              <w:bottom w:val="dashed" w:sz="4" w:space="0" w:color="auto"/>
            </w:tcBorders>
          </w:tcPr>
          <w:p w14:paraId="1FCEDE7C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51E9" w:rsidRPr="000D7526" w14:paraId="097C7ABB" w14:textId="77777777" w:rsidTr="002458C4">
        <w:tc>
          <w:tcPr>
            <w:tcW w:w="50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F3572D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  <w:p w14:paraId="65644DB6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  <w:p w14:paraId="54061C67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51E9" w:rsidRPr="000D7526" w14:paraId="6F5FF4B0" w14:textId="77777777" w:rsidTr="002458C4">
        <w:tc>
          <w:tcPr>
            <w:tcW w:w="2041" w:type="pct"/>
            <w:tcBorders>
              <w:top w:val="dashed" w:sz="4" w:space="0" w:color="auto"/>
            </w:tcBorders>
          </w:tcPr>
          <w:p w14:paraId="077D0D36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 xml:space="preserve">Date of next review meeting </w:t>
            </w:r>
          </w:p>
        </w:tc>
        <w:tc>
          <w:tcPr>
            <w:tcW w:w="2959" w:type="pct"/>
            <w:tcBorders>
              <w:top w:val="dashed" w:sz="4" w:space="0" w:color="auto"/>
              <w:bottom w:val="dashed" w:sz="4" w:space="0" w:color="auto"/>
            </w:tcBorders>
          </w:tcPr>
          <w:p w14:paraId="637089B6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51E9" w:rsidRPr="000D7526" w14:paraId="5474E6F7" w14:textId="77777777" w:rsidTr="002458C4">
        <w:tc>
          <w:tcPr>
            <w:tcW w:w="2041" w:type="pct"/>
          </w:tcPr>
          <w:p w14:paraId="4F3B0184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Signed (Member of staff)</w:t>
            </w:r>
          </w:p>
        </w:tc>
        <w:tc>
          <w:tcPr>
            <w:tcW w:w="2959" w:type="pct"/>
            <w:tcBorders>
              <w:top w:val="dashed" w:sz="4" w:space="0" w:color="auto"/>
              <w:bottom w:val="dashed" w:sz="4" w:space="0" w:color="auto"/>
            </w:tcBorders>
          </w:tcPr>
          <w:p w14:paraId="25B60F47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651E9" w:rsidRPr="000D7526" w14:paraId="1C86149C" w14:textId="77777777" w:rsidTr="002458C4">
        <w:tc>
          <w:tcPr>
            <w:tcW w:w="2041" w:type="pct"/>
          </w:tcPr>
          <w:p w14:paraId="23CD7935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Signed (Manager)</w:t>
            </w:r>
          </w:p>
        </w:tc>
        <w:tc>
          <w:tcPr>
            <w:tcW w:w="2959" w:type="pct"/>
            <w:tcBorders>
              <w:top w:val="dashed" w:sz="4" w:space="0" w:color="auto"/>
              <w:bottom w:val="dashed" w:sz="4" w:space="0" w:color="auto"/>
            </w:tcBorders>
          </w:tcPr>
          <w:p w14:paraId="1CAFBA2D" w14:textId="77777777" w:rsidR="005651E9" w:rsidRPr="000D7526" w:rsidRDefault="005651E9" w:rsidP="002458C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BFC8907" w14:textId="77777777" w:rsidR="005651E9" w:rsidRPr="000D7526" w:rsidRDefault="005651E9" w:rsidP="005651E9">
      <w:pPr>
        <w:rPr>
          <w:rFonts w:ascii="Arial" w:hAnsi="Arial" w:cs="Arial"/>
        </w:rPr>
      </w:pPr>
    </w:p>
    <w:sectPr w:rsidR="005651E9" w:rsidRPr="000D7526" w:rsidSect="00D638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B6A"/>
    <w:multiLevelType w:val="hybridMultilevel"/>
    <w:tmpl w:val="9268021A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54CE"/>
    <w:multiLevelType w:val="hybridMultilevel"/>
    <w:tmpl w:val="6002B274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127C"/>
    <w:multiLevelType w:val="hybridMultilevel"/>
    <w:tmpl w:val="88384E0E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6396"/>
    <w:multiLevelType w:val="hybridMultilevel"/>
    <w:tmpl w:val="55E0D1B4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563B5"/>
    <w:multiLevelType w:val="hybridMultilevel"/>
    <w:tmpl w:val="BDF03B98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30C4"/>
    <w:multiLevelType w:val="hybridMultilevel"/>
    <w:tmpl w:val="022EDF06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3788"/>
    <w:multiLevelType w:val="hybridMultilevel"/>
    <w:tmpl w:val="2F00937E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431AD"/>
    <w:multiLevelType w:val="hybridMultilevel"/>
    <w:tmpl w:val="E78EC674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E293B"/>
    <w:multiLevelType w:val="hybridMultilevel"/>
    <w:tmpl w:val="E4DEC3A6"/>
    <w:lvl w:ilvl="0" w:tplc="942A7D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70B62"/>
    <w:multiLevelType w:val="hybridMultilevel"/>
    <w:tmpl w:val="C466FC00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F6E6C"/>
    <w:multiLevelType w:val="hybridMultilevel"/>
    <w:tmpl w:val="D946FE3A"/>
    <w:lvl w:ilvl="0" w:tplc="6B96B2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AE785A"/>
    <w:multiLevelType w:val="hybridMultilevel"/>
    <w:tmpl w:val="217C1848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70E1C"/>
    <w:multiLevelType w:val="hybridMultilevel"/>
    <w:tmpl w:val="FA927AE8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30DF9"/>
    <w:multiLevelType w:val="hybridMultilevel"/>
    <w:tmpl w:val="8A402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F28D6"/>
    <w:multiLevelType w:val="hybridMultilevel"/>
    <w:tmpl w:val="B09E17FA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735BF"/>
    <w:multiLevelType w:val="hybridMultilevel"/>
    <w:tmpl w:val="25F477C8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6354A"/>
    <w:multiLevelType w:val="hybridMultilevel"/>
    <w:tmpl w:val="2A7400F0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534B7"/>
    <w:multiLevelType w:val="hybridMultilevel"/>
    <w:tmpl w:val="064AB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A7BD6"/>
    <w:multiLevelType w:val="hybridMultilevel"/>
    <w:tmpl w:val="3878E194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0C35"/>
    <w:multiLevelType w:val="hybridMultilevel"/>
    <w:tmpl w:val="DA58E29C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976CA"/>
    <w:multiLevelType w:val="hybridMultilevel"/>
    <w:tmpl w:val="F7AC3E52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1657E"/>
    <w:multiLevelType w:val="hybridMultilevel"/>
    <w:tmpl w:val="A59CCECC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C2966"/>
    <w:multiLevelType w:val="hybridMultilevel"/>
    <w:tmpl w:val="EF9E00A0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D7F50"/>
    <w:multiLevelType w:val="hybridMultilevel"/>
    <w:tmpl w:val="E988C5E4"/>
    <w:lvl w:ilvl="0" w:tplc="6B96B2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35566"/>
    <w:multiLevelType w:val="hybridMultilevel"/>
    <w:tmpl w:val="D0225342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1478EF"/>
    <w:multiLevelType w:val="hybridMultilevel"/>
    <w:tmpl w:val="54E65E7A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17925">
    <w:abstractNumId w:val="17"/>
  </w:num>
  <w:num w:numId="2" w16cid:durableId="1713000312">
    <w:abstractNumId w:val="3"/>
  </w:num>
  <w:num w:numId="3" w16cid:durableId="80373197">
    <w:abstractNumId w:val="1"/>
  </w:num>
  <w:num w:numId="4" w16cid:durableId="2010598389">
    <w:abstractNumId w:val="2"/>
  </w:num>
  <w:num w:numId="5" w16cid:durableId="2086755079">
    <w:abstractNumId w:val="22"/>
  </w:num>
  <w:num w:numId="6" w16cid:durableId="1329408572">
    <w:abstractNumId w:val="10"/>
  </w:num>
  <w:num w:numId="7" w16cid:durableId="1451433145">
    <w:abstractNumId w:val="8"/>
  </w:num>
  <w:num w:numId="8" w16cid:durableId="651300823">
    <w:abstractNumId w:val="23"/>
  </w:num>
  <w:num w:numId="9" w16cid:durableId="1993749317">
    <w:abstractNumId w:val="7"/>
  </w:num>
  <w:num w:numId="10" w16cid:durableId="1949851236">
    <w:abstractNumId w:val="11"/>
  </w:num>
  <w:num w:numId="11" w16cid:durableId="2049181653">
    <w:abstractNumId w:val="16"/>
  </w:num>
  <w:num w:numId="12" w16cid:durableId="2009597320">
    <w:abstractNumId w:val="15"/>
  </w:num>
  <w:num w:numId="13" w16cid:durableId="1874534076">
    <w:abstractNumId w:val="4"/>
  </w:num>
  <w:num w:numId="14" w16cid:durableId="1768429040">
    <w:abstractNumId w:val="20"/>
  </w:num>
  <w:num w:numId="15" w16cid:durableId="1884171592">
    <w:abstractNumId w:val="13"/>
  </w:num>
  <w:num w:numId="16" w16cid:durableId="1765414165">
    <w:abstractNumId w:val="6"/>
  </w:num>
  <w:num w:numId="17" w16cid:durableId="1300840424">
    <w:abstractNumId w:val="0"/>
  </w:num>
  <w:num w:numId="18" w16cid:durableId="790057740">
    <w:abstractNumId w:val="12"/>
  </w:num>
  <w:num w:numId="19" w16cid:durableId="2022900744">
    <w:abstractNumId w:val="25"/>
  </w:num>
  <w:num w:numId="20" w16cid:durableId="1196770963">
    <w:abstractNumId w:val="9"/>
  </w:num>
  <w:num w:numId="21" w16cid:durableId="1041902639">
    <w:abstractNumId w:val="21"/>
  </w:num>
  <w:num w:numId="22" w16cid:durableId="849677956">
    <w:abstractNumId w:val="24"/>
  </w:num>
  <w:num w:numId="23" w16cid:durableId="2004239664">
    <w:abstractNumId w:val="14"/>
  </w:num>
  <w:num w:numId="24" w16cid:durableId="1073822288">
    <w:abstractNumId w:val="19"/>
  </w:num>
  <w:num w:numId="25" w16cid:durableId="1671134075">
    <w:abstractNumId w:val="5"/>
  </w:num>
  <w:num w:numId="26" w16cid:durableId="16794577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52"/>
    <w:rsid w:val="00000AF2"/>
    <w:rsid w:val="00001387"/>
    <w:rsid w:val="000174FD"/>
    <w:rsid w:val="000771E4"/>
    <w:rsid w:val="000961F7"/>
    <w:rsid w:val="000A105A"/>
    <w:rsid w:val="000A5A10"/>
    <w:rsid w:val="000A7D61"/>
    <w:rsid w:val="000D7526"/>
    <w:rsid w:val="000E077A"/>
    <w:rsid w:val="00127FC5"/>
    <w:rsid w:val="001363FE"/>
    <w:rsid w:val="001724F7"/>
    <w:rsid w:val="001736C4"/>
    <w:rsid w:val="0017394A"/>
    <w:rsid w:val="001875B7"/>
    <w:rsid w:val="0019131F"/>
    <w:rsid w:val="001948D2"/>
    <w:rsid w:val="001B5690"/>
    <w:rsid w:val="001C6DBF"/>
    <w:rsid w:val="001E50AB"/>
    <w:rsid w:val="001E675D"/>
    <w:rsid w:val="0023475E"/>
    <w:rsid w:val="002431A8"/>
    <w:rsid w:val="00247744"/>
    <w:rsid w:val="0028406B"/>
    <w:rsid w:val="002C6088"/>
    <w:rsid w:val="002D04D3"/>
    <w:rsid w:val="002D0D8B"/>
    <w:rsid w:val="002D48ED"/>
    <w:rsid w:val="002F64BF"/>
    <w:rsid w:val="00355EA5"/>
    <w:rsid w:val="00356103"/>
    <w:rsid w:val="003A0966"/>
    <w:rsid w:val="003A0F95"/>
    <w:rsid w:val="003C1680"/>
    <w:rsid w:val="003E5D83"/>
    <w:rsid w:val="00402980"/>
    <w:rsid w:val="00432960"/>
    <w:rsid w:val="00442FED"/>
    <w:rsid w:val="004B32B3"/>
    <w:rsid w:val="004E1BBD"/>
    <w:rsid w:val="004E5DF1"/>
    <w:rsid w:val="004F27D1"/>
    <w:rsid w:val="005239D8"/>
    <w:rsid w:val="005244A8"/>
    <w:rsid w:val="00536497"/>
    <w:rsid w:val="00560598"/>
    <w:rsid w:val="005651E9"/>
    <w:rsid w:val="005A4365"/>
    <w:rsid w:val="005D0030"/>
    <w:rsid w:val="005D2707"/>
    <w:rsid w:val="005D3DCD"/>
    <w:rsid w:val="005E0E63"/>
    <w:rsid w:val="005E62D9"/>
    <w:rsid w:val="005F3A00"/>
    <w:rsid w:val="005F69B3"/>
    <w:rsid w:val="00601417"/>
    <w:rsid w:val="00614624"/>
    <w:rsid w:val="0064487B"/>
    <w:rsid w:val="006453CF"/>
    <w:rsid w:val="006B7DD2"/>
    <w:rsid w:val="006D37B4"/>
    <w:rsid w:val="006D3EEF"/>
    <w:rsid w:val="006E5396"/>
    <w:rsid w:val="006E6C5A"/>
    <w:rsid w:val="0070462E"/>
    <w:rsid w:val="00722373"/>
    <w:rsid w:val="007467A7"/>
    <w:rsid w:val="00767A3C"/>
    <w:rsid w:val="00770BC0"/>
    <w:rsid w:val="00776997"/>
    <w:rsid w:val="007769F0"/>
    <w:rsid w:val="0077741B"/>
    <w:rsid w:val="00777A2C"/>
    <w:rsid w:val="00782259"/>
    <w:rsid w:val="00783625"/>
    <w:rsid w:val="007A3839"/>
    <w:rsid w:val="007C4689"/>
    <w:rsid w:val="007C61D6"/>
    <w:rsid w:val="007D0E10"/>
    <w:rsid w:val="007E46B0"/>
    <w:rsid w:val="007F6A01"/>
    <w:rsid w:val="008038C0"/>
    <w:rsid w:val="00847301"/>
    <w:rsid w:val="00885D6F"/>
    <w:rsid w:val="00892D96"/>
    <w:rsid w:val="008C6CCB"/>
    <w:rsid w:val="009048EF"/>
    <w:rsid w:val="0096118E"/>
    <w:rsid w:val="00973E28"/>
    <w:rsid w:val="00996149"/>
    <w:rsid w:val="009A2D76"/>
    <w:rsid w:val="009F5C5E"/>
    <w:rsid w:val="00A22B90"/>
    <w:rsid w:val="00A2587D"/>
    <w:rsid w:val="00A30BD1"/>
    <w:rsid w:val="00A46A25"/>
    <w:rsid w:val="00A47C24"/>
    <w:rsid w:val="00A634D0"/>
    <w:rsid w:val="00A965AE"/>
    <w:rsid w:val="00AE14A9"/>
    <w:rsid w:val="00B06BF1"/>
    <w:rsid w:val="00B46F7C"/>
    <w:rsid w:val="00B9062E"/>
    <w:rsid w:val="00B91561"/>
    <w:rsid w:val="00BB23FA"/>
    <w:rsid w:val="00BC5AD0"/>
    <w:rsid w:val="00BD4ABE"/>
    <w:rsid w:val="00BD7F94"/>
    <w:rsid w:val="00C0446B"/>
    <w:rsid w:val="00C122F5"/>
    <w:rsid w:val="00C16F90"/>
    <w:rsid w:val="00C51400"/>
    <w:rsid w:val="00C80A47"/>
    <w:rsid w:val="00C82008"/>
    <w:rsid w:val="00CB659D"/>
    <w:rsid w:val="00D07F21"/>
    <w:rsid w:val="00D11B45"/>
    <w:rsid w:val="00D13E8A"/>
    <w:rsid w:val="00D52D9C"/>
    <w:rsid w:val="00D55996"/>
    <w:rsid w:val="00D55E44"/>
    <w:rsid w:val="00D638E3"/>
    <w:rsid w:val="00D75976"/>
    <w:rsid w:val="00D82D4A"/>
    <w:rsid w:val="00D83B63"/>
    <w:rsid w:val="00D8463A"/>
    <w:rsid w:val="00D97381"/>
    <w:rsid w:val="00DA74E9"/>
    <w:rsid w:val="00DB1087"/>
    <w:rsid w:val="00DD0708"/>
    <w:rsid w:val="00DD4F09"/>
    <w:rsid w:val="00E070CE"/>
    <w:rsid w:val="00E21DDC"/>
    <w:rsid w:val="00E90B12"/>
    <w:rsid w:val="00E95067"/>
    <w:rsid w:val="00ED47B9"/>
    <w:rsid w:val="00EF1B64"/>
    <w:rsid w:val="00F02978"/>
    <w:rsid w:val="00F14734"/>
    <w:rsid w:val="00F17AD1"/>
    <w:rsid w:val="00F24F57"/>
    <w:rsid w:val="00F40052"/>
    <w:rsid w:val="00F87BC9"/>
    <w:rsid w:val="00F97079"/>
    <w:rsid w:val="00FF6330"/>
    <w:rsid w:val="50AC6B31"/>
    <w:rsid w:val="747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5F17"/>
  <w15:chartTrackingRefBased/>
  <w15:docId w15:val="{9E3CBFF0-FCBA-4924-A6CF-EC089B29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4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4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406B"/>
    <w:pPr>
      <w:ind w:left="720"/>
      <w:contextualSpacing/>
    </w:pPr>
  </w:style>
  <w:style w:type="table" w:styleId="TableGrid">
    <w:name w:val="Table Grid"/>
    <w:basedOn w:val="TableNormal"/>
    <w:uiPriority w:val="39"/>
    <w:rsid w:val="0040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23F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E077A"/>
    <w:pPr>
      <w:spacing w:after="0" w:line="240" w:lineRule="auto"/>
    </w:pPr>
  </w:style>
  <w:style w:type="paragraph" w:styleId="NoSpacing">
    <w:name w:val="No Spacing"/>
    <w:uiPriority w:val="1"/>
    <w:qFormat/>
    <w:rsid w:val="00892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onditions/Menopause/Pages/Introduction.aspx" TargetMode="External"/><Relationship Id="rId13" Type="http://schemas.openxmlformats.org/officeDocument/2006/relationships/hyperlink" Target="http://www.themenopausecharity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cog.org.uk/en/patients/menopause/hysterectom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nopausecafe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aisynetwork.or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enopausematters.co.uk" TargetMode="External"/><Relationship Id="rId10" Type="http://schemas.openxmlformats.org/officeDocument/2006/relationships/hyperlink" Target="http://www.rcog.org.uk/en/patients/menopaus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ice.org.uk/guidance/ng23/ifp/chapter/About-this-information" TargetMode="External"/><Relationship Id="rId14" Type="http://schemas.openxmlformats.org/officeDocument/2006/relationships/hyperlink" Target="https://henpicked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4FED2-964F-4D53-945C-B39D1781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E32C0-38C8-4DD0-A388-8668D15C941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BFFB29C7-98CE-4E74-8872-4949FBBEC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Allison</dc:creator>
  <cp:keywords/>
  <dc:description/>
  <cp:lastModifiedBy>Andrea Oliver</cp:lastModifiedBy>
  <cp:revision>3</cp:revision>
  <dcterms:created xsi:type="dcterms:W3CDTF">2024-12-06T19:13:00Z</dcterms:created>
  <dcterms:modified xsi:type="dcterms:W3CDTF">2025-02-10T22:34:00Z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Order">
    <vt:r8>132817200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{"FileActivityType":"9","FileActivityTimeStamp":"2024-07-30T13:56:45.430Z","FileActivityUsersOnPage":[{"DisplayName":"Paul Donaldson","Id":"paul.donaldson@eyalliance.org.uk"},{"DisplayName":"Jacqueline Dale","Id":"jacqueline.dale@eyalliance.org.uk"}],"Fil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