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EAFB" w14:textId="438E4975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32AB98F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</w:t>
      </w:r>
      <w:r w:rsidR="00146BDF">
        <w:rPr>
          <w:rFonts w:ascii="Arial" w:hAnsi="Arial" w:cs="Arial"/>
          <w:sz w:val="22"/>
          <w:szCs w:val="22"/>
        </w:rPr>
        <w:t>used to complete the check.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3219CAC1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146BDF">
        <w:rPr>
          <w:rFonts w:ascii="Arial" w:hAnsi="Arial" w:cs="Arial"/>
          <w:sz w:val="22"/>
          <w:szCs w:val="22"/>
        </w:rPr>
        <w:t xml:space="preserve"> or how they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146BDF">
        <w:rPr>
          <w:rFonts w:ascii="Arial" w:hAnsi="Arial" w:cs="Arial"/>
          <w:sz w:val="22"/>
          <w:szCs w:val="22"/>
        </w:rPr>
        <w:t>.</w:t>
      </w:r>
    </w:p>
    <w:p w14:paraId="2D0CDF21" w14:textId="53AF876E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</w:t>
      </w:r>
      <w:r w:rsidR="009F651A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. </w:t>
      </w:r>
    </w:p>
    <w:p w14:paraId="0D9231F1" w14:textId="03AD798C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>y must be addressed through</w:t>
      </w:r>
      <w:r w:rsidR="009F651A">
        <w:rPr>
          <w:rFonts w:ascii="Arial" w:hAnsi="Arial" w:cs="Arial"/>
          <w:sz w:val="22"/>
          <w:szCs w:val="22"/>
        </w:rPr>
        <w:t xml:space="preserve"> our</w:t>
      </w:r>
      <w:r w:rsidR="00812254">
        <w:rPr>
          <w:rFonts w:ascii="Arial" w:hAnsi="Arial" w:cs="Arial"/>
          <w:sz w:val="22"/>
          <w:szCs w:val="22"/>
        </w:rPr>
        <w:t xml:space="preserve"> Safeguarding </w:t>
      </w:r>
      <w:r w:rsidR="009F651A">
        <w:rPr>
          <w:rFonts w:ascii="Arial" w:hAnsi="Arial" w:cs="Arial"/>
          <w:sz w:val="22"/>
          <w:szCs w:val="22"/>
        </w:rPr>
        <w:t xml:space="preserve">policy </w:t>
      </w:r>
      <w:r w:rsidR="00812254" w:rsidRPr="00812254">
        <w:rPr>
          <w:rFonts w:ascii="Arial" w:hAnsi="Arial" w:cs="Arial"/>
          <w:sz w:val="22"/>
          <w:szCs w:val="22"/>
        </w:rPr>
        <w:t>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DA94" w14:textId="77777777" w:rsidR="00801732" w:rsidRDefault="00801732" w:rsidP="003C7A9F">
      <w:r>
        <w:separator/>
      </w:r>
    </w:p>
  </w:endnote>
  <w:endnote w:type="continuationSeparator" w:id="0">
    <w:p w14:paraId="56CE5872" w14:textId="77777777" w:rsidR="00801732" w:rsidRDefault="00801732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0042" w14:textId="42C5E16C" w:rsidR="003331BD" w:rsidRPr="00EF4F67" w:rsidRDefault="008B76BE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EF4F67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FF687A">
      <w:rPr>
        <w:rFonts w:ascii="Arial" w:hAnsi="Arial" w:cs="Arial"/>
        <w:i/>
        <w:iCs/>
        <w:sz w:val="20"/>
        <w:szCs w:val="20"/>
        <w:lang w:eastAsia="x-none"/>
      </w:rPr>
      <w:t>4</w:t>
    </w:r>
    <w:r w:rsidRPr="00EF4F67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FF687A">
      <w:rPr>
        <w:rFonts w:ascii="Arial" w:hAnsi="Arial" w:cs="Arial"/>
        <w:sz w:val="20"/>
        <w:szCs w:val="20"/>
        <w:lang w:eastAsia="x-none"/>
      </w:rPr>
      <w:t>4</w:t>
    </w:r>
    <w:r w:rsidRPr="00EF4F67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344C" w14:textId="77777777" w:rsidR="00801732" w:rsidRDefault="00801732" w:rsidP="003C7A9F">
      <w:r>
        <w:separator/>
      </w:r>
    </w:p>
  </w:footnote>
  <w:footnote w:type="continuationSeparator" w:id="0">
    <w:p w14:paraId="2E8FD3B1" w14:textId="77777777" w:rsidR="00801732" w:rsidRDefault="00801732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6E9F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46BDF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1732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15BB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651A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87A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61CA2-9004-4120-BC2A-D90A249D6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Andrea Oliver</cp:lastModifiedBy>
  <cp:revision>4</cp:revision>
  <cp:lastPrinted>2018-05-03T18:57:00Z</cp:lastPrinted>
  <dcterms:created xsi:type="dcterms:W3CDTF">2024-01-03T13:33:00Z</dcterms:created>
  <dcterms:modified xsi:type="dcterms:W3CDTF">2024-12-12T10:25:00Z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